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4A0"/>
      </w:tblPr>
      <w:tblGrid>
        <w:gridCol w:w="1626"/>
        <w:gridCol w:w="1317"/>
        <w:gridCol w:w="763"/>
        <w:gridCol w:w="7742"/>
      </w:tblGrid>
      <w:tr w:rsidR="00933687" w:rsidRPr="00063B71" w:rsidTr="00063B71">
        <w:trPr>
          <w:tblHeader/>
        </w:trPr>
        <w:tc>
          <w:tcPr>
            <w:tcW w:w="11448" w:type="dxa"/>
            <w:gridSpan w:val="4"/>
            <w:tcBorders>
              <w:top w:val="nil"/>
              <w:left w:val="nil"/>
              <w:right w:val="nil"/>
            </w:tcBorders>
          </w:tcPr>
          <w:p w:rsidR="00933687" w:rsidRPr="00063B71" w:rsidRDefault="00E57894" w:rsidP="00063B71">
            <w:pPr>
              <w:jc w:val="center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063B71">
              <w:rPr>
                <w:sz w:val="28"/>
                <w:szCs w:val="28"/>
                <w:lang w:val="lv-LV"/>
              </w:rPr>
              <w:t>Mācību</w:t>
            </w:r>
            <w:r w:rsidR="00063B71" w:rsidRPr="00063B71">
              <w:rPr>
                <w:sz w:val="28"/>
                <w:szCs w:val="28"/>
                <w:lang w:val="lv-LV"/>
              </w:rPr>
              <w:t xml:space="preserve"> </w:t>
            </w:r>
            <w:r w:rsidRPr="00063B71">
              <w:rPr>
                <w:sz w:val="28"/>
                <w:szCs w:val="28"/>
                <w:lang w:val="lv-LV"/>
              </w:rPr>
              <w:t>sasniegumu</w:t>
            </w:r>
            <w:r w:rsidR="00063B71" w:rsidRPr="00063B71">
              <w:rPr>
                <w:sz w:val="28"/>
                <w:szCs w:val="28"/>
                <w:lang w:val="lv-LV"/>
              </w:rPr>
              <w:t xml:space="preserve"> </w:t>
            </w:r>
            <w:r w:rsidRPr="00063B71">
              <w:rPr>
                <w:sz w:val="28"/>
                <w:szCs w:val="28"/>
                <w:lang w:val="lv-LV"/>
              </w:rPr>
              <w:t>vērtēšana</w:t>
            </w:r>
            <w:r w:rsidR="00063B71">
              <w:rPr>
                <w:sz w:val="28"/>
                <w:szCs w:val="28"/>
                <w:lang w:val="lv-LV"/>
              </w:rPr>
              <w:t xml:space="preserve"> instrumentālās mūzikas programmā</w:t>
            </w:r>
            <w:r w:rsidR="008E1A0C" w:rsidRPr="00063B71">
              <w:rPr>
                <w:sz w:val="28"/>
                <w:szCs w:val="28"/>
                <w:lang w:val="lv-LV"/>
              </w:rPr>
              <w:t>:</w:t>
            </w:r>
          </w:p>
          <w:p w:rsidR="00E57894" w:rsidRPr="00063B71" w:rsidRDefault="00E57894">
            <w:pPr>
              <w:rPr>
                <w:lang w:val="lv-LV"/>
              </w:rPr>
            </w:pP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 w:val="restart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A</w:t>
            </w:r>
            <w:r w:rsidR="00933687" w:rsidRPr="00063B71">
              <w:rPr>
                <w:lang w:val="lv-LV"/>
              </w:rPr>
              <w:t>ugsts</w:t>
            </w:r>
            <w:r>
              <w:rPr>
                <w:lang w:val="lv-LV"/>
              </w:rPr>
              <w:t xml:space="preserve"> a</w:t>
            </w:r>
            <w:r w:rsidR="00933687" w:rsidRPr="00063B71">
              <w:rPr>
                <w:lang w:val="lv-LV"/>
              </w:rPr>
              <w:t>pguves</w:t>
            </w:r>
            <w:r w:rsidRPr="00063B71"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līmenis</w:t>
            </w: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I</w:t>
            </w:r>
            <w:r w:rsidR="00933687" w:rsidRPr="00063B71">
              <w:rPr>
                <w:lang w:val="lv-LV"/>
              </w:rPr>
              <w:t>zcili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10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Audzēknis</w:t>
            </w:r>
            <w:r w:rsidR="00063B71" w:rsidRP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parāda</w:t>
            </w:r>
            <w:r w:rsidR="00063B71" w:rsidRP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izcilas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 un prasmes, kas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pārsniedz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attiecīgās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klases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apjomu. Muzikālais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atbilst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konkrētam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mūzikas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stilam, 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emocionāli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pārliecinošs. 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apgūts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precīzi. 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labas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iemaņas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arī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lasīšanā no lapas. Audzēknis</w:t>
            </w:r>
            <w:r w:rsidR="00063B71">
              <w:rPr>
                <w:lang w:val="lv-LV"/>
              </w:rPr>
              <w:t xml:space="preserve"> strādā </w:t>
            </w:r>
            <w:r w:rsidRPr="00063B71">
              <w:rPr>
                <w:lang w:val="lv-LV"/>
              </w:rPr>
              <w:t>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radoši, ar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lielu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interesi.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T</w:t>
            </w:r>
            <w:r w:rsidR="00933687" w:rsidRPr="00063B71">
              <w:rPr>
                <w:lang w:val="lv-LV"/>
              </w:rPr>
              <w:t>eicami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9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parāda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nevainojamas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 un prasmes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atbilstoši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attiecīgās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klases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prasībām. Audzēknim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mūzikas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stila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izjūta, 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precīzi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apgūts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teksts. Labas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iemaņas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lasīšanā no lapas. Prot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radoši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pielietot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iegūtās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zināšanas.</w:t>
            </w:r>
          </w:p>
        </w:tc>
      </w:tr>
      <w:tr w:rsidR="00933687" w:rsidRPr="00063B71" w:rsidTr="00063B71">
        <w:trPr>
          <w:trHeight w:val="268"/>
          <w:tblHeader/>
        </w:trPr>
        <w:tc>
          <w:tcPr>
            <w:tcW w:w="1626" w:type="dxa"/>
            <w:vMerge w:val="restart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="00933687" w:rsidRPr="00063B71">
              <w:rPr>
                <w:lang w:val="lv-LV"/>
              </w:rPr>
              <w:t>ptimāls</w:t>
            </w:r>
            <w:r>
              <w:rPr>
                <w:lang w:val="lv-LV"/>
              </w:rPr>
              <w:t xml:space="preserve"> a</w:t>
            </w:r>
            <w:r w:rsidR="00933687" w:rsidRPr="00063B71">
              <w:rPr>
                <w:lang w:val="lv-LV"/>
              </w:rPr>
              <w:t>pguves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līmenis</w:t>
            </w: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Ļ</w:t>
            </w:r>
            <w:r w:rsidR="00933687" w:rsidRPr="00063B71">
              <w:rPr>
                <w:lang w:val="lv-LV"/>
              </w:rPr>
              <w:t>oti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labi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8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parāda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labas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 un prasmes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atbilstoši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attiecīgās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klases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prasībām. Audzēknis</w:t>
            </w:r>
            <w:r w:rsidR="00063B71">
              <w:rPr>
                <w:lang w:val="lv-LV"/>
              </w:rPr>
              <w:t xml:space="preserve"> ar iz</w:t>
            </w:r>
            <w:r w:rsidRPr="00063B71">
              <w:rPr>
                <w:lang w:val="lv-LV"/>
              </w:rPr>
              <w:t>pratni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var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reproducēt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materiālu, saskata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likumsakarības, tomēr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vērojamas 3 atsevišķas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neprecizitātes, nesvarīgi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trūkumi. Labi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izprot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skaņdarba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saturu, stilu. Labas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iemaņas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lasīšanā no lapas. Mācās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radoši.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L</w:t>
            </w:r>
            <w:r w:rsidR="00933687" w:rsidRPr="00063B71">
              <w:rPr>
                <w:lang w:val="lv-LV"/>
              </w:rPr>
              <w:t>abi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7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Apgūtas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priekšmeta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prasības. 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 un prasmes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izmantot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pēc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parauga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vai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pazīstamās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situācijās, uzdoto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veic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apzinīgi, taču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zināšanās un prasmēs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sastopami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nesvarīgi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trūkumi. Skaņdarba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saturs un stils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tiek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izprasts. Tehniskajā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ziņā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nav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pilnīgi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atraisīts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sniegums. 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lasīšana no lapas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jāpilnveido.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G</w:t>
            </w:r>
            <w:r w:rsidR="00933687" w:rsidRPr="00063B71">
              <w:rPr>
                <w:lang w:val="lv-LV"/>
              </w:rPr>
              <w:t>andrīz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labi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6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Apgūtas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priekšmeta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prasības. 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pamatjēdzienus, likumus, taču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zināšanas un prasmes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nepietiekami </w:t>
            </w:r>
            <w:r w:rsidRPr="00063B71">
              <w:rPr>
                <w:lang w:val="lv-LV"/>
              </w:rPr>
              <w:t>stabilas un pārliecinošas. Pārsvarā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tiek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strādāts un sagatavota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ieskaišu un 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koncertu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programma. Muzikālā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atmiņa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nav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pietiekoš</w:t>
            </w:r>
            <w:r w:rsidR="00063B71">
              <w:rPr>
                <w:lang w:val="lv-LV"/>
              </w:rPr>
              <w:t xml:space="preserve">i </w:t>
            </w:r>
            <w:r w:rsidRPr="00063B71">
              <w:rPr>
                <w:lang w:val="lv-LV"/>
              </w:rPr>
              <w:t>laba, pietrūkst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arī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skaņdarbu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stila un mūzikas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satura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izpratnes. Muzikālais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nav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pārliecinošs, tehniski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nebrīvs. Grūtības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jauna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apgūšana, jo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nepietiekamas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iemaņas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lasīšanā no lapas.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 w:val="restart"/>
            <w:vAlign w:val="center"/>
          </w:tcPr>
          <w:p w:rsidR="00E57894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V</w:t>
            </w:r>
            <w:r w:rsidR="00933687" w:rsidRPr="00063B71">
              <w:rPr>
                <w:lang w:val="lv-LV"/>
              </w:rPr>
              <w:t>idējs</w:t>
            </w:r>
          </w:p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apguves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līmenis</w:t>
            </w: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V</w:t>
            </w:r>
            <w:r w:rsidR="00933687" w:rsidRPr="00063B71">
              <w:rPr>
                <w:lang w:val="lv-LV"/>
              </w:rPr>
              <w:t>iduvēji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5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Pamatvilcienos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programma, taču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zināšanās un prasmēs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daudz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trūkumu un nepilnību. Ieskaišu un 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koncerta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tiek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lēni. Muzikālais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nepārliecinošs, emocionāli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neizteiksmīgs, tehniski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vājš, ar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vairākām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kļūdām. 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neizprot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skaņdarba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stilu, saturu. 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lasīšana no lapas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grūtības.</w:t>
            </w:r>
          </w:p>
          <w:p w:rsidR="00933687" w:rsidRPr="00063B71" w:rsidRDefault="00933687" w:rsidP="00063B71">
            <w:pPr>
              <w:jc w:val="both"/>
              <w:rPr>
                <w:lang w:val="lv-LV"/>
              </w:rPr>
            </w:pPr>
          </w:p>
          <w:p w:rsidR="00933687" w:rsidRPr="00063B71" w:rsidRDefault="00933687" w:rsidP="00063B71">
            <w:pPr>
              <w:jc w:val="both"/>
              <w:rPr>
                <w:lang w:val="lv-LV"/>
              </w:rPr>
            </w:pPr>
          </w:p>
          <w:p w:rsidR="00933687" w:rsidRPr="00063B71" w:rsidRDefault="00933687" w:rsidP="00063B71">
            <w:pPr>
              <w:jc w:val="both"/>
              <w:rPr>
                <w:lang w:val="lv-LV"/>
              </w:rPr>
            </w:pPr>
          </w:p>
          <w:p w:rsidR="00933687" w:rsidRPr="00063B71" w:rsidRDefault="00933687" w:rsidP="00063B71">
            <w:pPr>
              <w:jc w:val="both"/>
              <w:rPr>
                <w:lang w:val="lv-LV"/>
              </w:rPr>
            </w:pP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G</w:t>
            </w:r>
            <w:r w:rsidR="00933687" w:rsidRPr="00063B71">
              <w:rPr>
                <w:lang w:val="lv-LV"/>
              </w:rPr>
              <w:t>andrīz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viduvēji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4</w:t>
            </w:r>
          </w:p>
        </w:tc>
        <w:tc>
          <w:tcPr>
            <w:tcW w:w="7742" w:type="dxa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mācību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apguvis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individuālo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spēju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līmenī. Zināšanās un prasmēs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ievērojami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trūkumi, uzdoto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veic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bez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intereses. Skaņdarbi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neatbilst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programmas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prasībām. Vājš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emocionālais un tehniskais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sniegums, visa uzmanība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veltīta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atspēlēšanai. Vāja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muzikālā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atmiņa, nav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radošas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domas.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 w:val="restart"/>
            <w:vAlign w:val="center"/>
          </w:tcPr>
          <w:p w:rsidR="00063B71" w:rsidRDefault="00063B71" w:rsidP="00063B71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="00933687" w:rsidRPr="00063B71">
              <w:rPr>
                <w:lang w:val="lv-LV"/>
              </w:rPr>
              <w:t>ems</w:t>
            </w:r>
          </w:p>
          <w:p w:rsidR="00933687" w:rsidRPr="00063B71" w:rsidRDefault="00063B71" w:rsidP="00063B71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933687" w:rsidRPr="00063B71">
              <w:rPr>
                <w:lang w:val="lv-LV"/>
              </w:rPr>
              <w:t>pguves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līmenis</w:t>
            </w: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V</w:t>
            </w:r>
            <w:r w:rsidR="00933687" w:rsidRPr="00063B71">
              <w:rPr>
                <w:lang w:val="lv-LV"/>
              </w:rPr>
              <w:t>āji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3</w:t>
            </w:r>
          </w:p>
        </w:tc>
        <w:tc>
          <w:tcPr>
            <w:tcW w:w="7742" w:type="dxa"/>
            <w:vMerge w:val="restart"/>
          </w:tcPr>
          <w:p w:rsidR="00933687" w:rsidRPr="00063B71" w:rsidRDefault="00933687" w:rsidP="00063B71">
            <w:pPr>
              <w:jc w:val="both"/>
              <w:rPr>
                <w:lang w:val="lv-LV"/>
              </w:rPr>
            </w:pPr>
            <w:r w:rsidRPr="00063B71">
              <w:rPr>
                <w:lang w:val="lv-LV"/>
              </w:rPr>
              <w:t>Zināšanas, prasmes un iemaņas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apgūtas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virspusēji, tās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ir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nepietiekošas. 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pieļauj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daudz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kļūdu, neizpilda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skolotāja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norādījumus. Nav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intereses par mācībām. Emocionālais un tehniskais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sniegums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ļoti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vājš, audzēknis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neizprot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skaņdarba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noskaņu un raksturu. Vāji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lasa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jaunu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nošu</w:t>
            </w:r>
            <w:r w:rsidR="00063B71">
              <w:rPr>
                <w:lang w:val="lv-LV"/>
              </w:rPr>
              <w:t xml:space="preserve"> </w:t>
            </w:r>
            <w:r w:rsidRPr="00063B71">
              <w:rPr>
                <w:lang w:val="lv-LV"/>
              </w:rPr>
              <w:t>tekstu.</w:t>
            </w: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</w:tcPr>
          <w:p w:rsidR="00933687" w:rsidRPr="00063B71" w:rsidRDefault="00933687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Ļ</w:t>
            </w:r>
            <w:r w:rsidR="00933687" w:rsidRPr="00063B71">
              <w:rPr>
                <w:lang w:val="lv-LV"/>
              </w:rPr>
              <w:t>oti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vāji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2</w:t>
            </w:r>
          </w:p>
        </w:tc>
        <w:tc>
          <w:tcPr>
            <w:tcW w:w="7742" w:type="dxa"/>
            <w:vMerge/>
          </w:tcPr>
          <w:p w:rsidR="00933687" w:rsidRPr="00063B71" w:rsidRDefault="00933687">
            <w:pPr>
              <w:rPr>
                <w:lang w:val="lv-LV"/>
              </w:rPr>
            </w:pPr>
          </w:p>
        </w:tc>
      </w:tr>
      <w:tr w:rsidR="00933687" w:rsidRPr="00063B71" w:rsidTr="00063B71">
        <w:trPr>
          <w:tblHeader/>
        </w:trPr>
        <w:tc>
          <w:tcPr>
            <w:tcW w:w="1626" w:type="dxa"/>
            <w:vMerge/>
          </w:tcPr>
          <w:p w:rsidR="00933687" w:rsidRPr="00063B71" w:rsidRDefault="00933687">
            <w:pPr>
              <w:rPr>
                <w:lang w:val="lv-LV"/>
              </w:rPr>
            </w:pPr>
          </w:p>
        </w:tc>
        <w:tc>
          <w:tcPr>
            <w:tcW w:w="1317" w:type="dxa"/>
            <w:vAlign w:val="center"/>
          </w:tcPr>
          <w:p w:rsidR="00933687" w:rsidRPr="00063B71" w:rsidRDefault="00063B71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Ļ</w:t>
            </w:r>
            <w:r w:rsidR="00933687" w:rsidRPr="00063B71">
              <w:rPr>
                <w:lang w:val="lv-LV"/>
              </w:rPr>
              <w:t>oti, ļoti</w:t>
            </w:r>
            <w:r>
              <w:rPr>
                <w:lang w:val="lv-LV"/>
              </w:rPr>
              <w:t xml:space="preserve"> </w:t>
            </w:r>
            <w:r w:rsidR="00933687" w:rsidRPr="00063B71">
              <w:rPr>
                <w:lang w:val="lv-LV"/>
              </w:rPr>
              <w:t>vāji</w:t>
            </w:r>
          </w:p>
        </w:tc>
        <w:tc>
          <w:tcPr>
            <w:tcW w:w="763" w:type="dxa"/>
            <w:vAlign w:val="center"/>
          </w:tcPr>
          <w:p w:rsidR="00933687" w:rsidRPr="00063B71" w:rsidRDefault="00933687" w:rsidP="00063B71">
            <w:pPr>
              <w:rPr>
                <w:lang w:val="lv-LV"/>
              </w:rPr>
            </w:pPr>
            <w:r w:rsidRPr="00063B71">
              <w:rPr>
                <w:lang w:val="lv-LV"/>
              </w:rPr>
              <w:t>1</w:t>
            </w:r>
          </w:p>
        </w:tc>
        <w:tc>
          <w:tcPr>
            <w:tcW w:w="7742" w:type="dxa"/>
            <w:vMerge/>
          </w:tcPr>
          <w:p w:rsidR="00933687" w:rsidRPr="00063B71" w:rsidRDefault="00933687">
            <w:pPr>
              <w:rPr>
                <w:lang w:val="lv-LV"/>
              </w:rPr>
            </w:pPr>
          </w:p>
        </w:tc>
      </w:tr>
    </w:tbl>
    <w:p w:rsidR="00DE23BF" w:rsidRPr="00063B71" w:rsidRDefault="00DE23BF">
      <w:pPr>
        <w:rPr>
          <w:lang w:val="lv-LV"/>
        </w:rPr>
      </w:pPr>
    </w:p>
    <w:sectPr w:rsidR="00DE23BF" w:rsidRPr="00063B71" w:rsidSect="00063B7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CF" w:rsidRDefault="001035CF" w:rsidP="00AA64B7">
      <w:pPr>
        <w:spacing w:line="240" w:lineRule="auto"/>
      </w:pPr>
      <w:r>
        <w:separator/>
      </w:r>
    </w:p>
  </w:endnote>
  <w:endnote w:type="continuationSeparator" w:id="1">
    <w:p w:rsidR="001035CF" w:rsidRDefault="001035CF" w:rsidP="00AA6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CF" w:rsidRDefault="001035CF" w:rsidP="00AA64B7">
      <w:pPr>
        <w:spacing w:line="240" w:lineRule="auto"/>
      </w:pPr>
      <w:r>
        <w:separator/>
      </w:r>
    </w:p>
  </w:footnote>
  <w:footnote w:type="continuationSeparator" w:id="1">
    <w:p w:rsidR="001035CF" w:rsidRDefault="001035CF" w:rsidP="00AA6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16"/>
    <w:rsid w:val="00063B71"/>
    <w:rsid w:val="001035CF"/>
    <w:rsid w:val="00526F23"/>
    <w:rsid w:val="00671D16"/>
    <w:rsid w:val="00695CFD"/>
    <w:rsid w:val="008E1A0C"/>
    <w:rsid w:val="00933687"/>
    <w:rsid w:val="009942AE"/>
    <w:rsid w:val="00AA64B7"/>
    <w:rsid w:val="00DE23BF"/>
    <w:rsid w:val="00E57894"/>
    <w:rsid w:val="00FE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B7"/>
  </w:style>
  <w:style w:type="paragraph" w:styleId="Footer">
    <w:name w:val="footer"/>
    <w:basedOn w:val="Normal"/>
    <w:link w:val="FooterChar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2A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E0A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64B7"/>
  </w:style>
  <w:style w:type="paragraph" w:styleId="Kjene">
    <w:name w:val="footer"/>
    <w:basedOn w:val="Parasts"/>
    <w:link w:val="KjeneRakstz"/>
    <w:uiPriority w:val="99"/>
    <w:unhideWhenUsed/>
    <w:rsid w:val="00AA64B7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802C48-B49C-4FD4-BBD6-88D7825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</cp:lastModifiedBy>
  <cp:revision>6</cp:revision>
  <cp:lastPrinted>2018-01-09T14:38:00Z</cp:lastPrinted>
  <dcterms:created xsi:type="dcterms:W3CDTF">2018-01-07T17:20:00Z</dcterms:created>
  <dcterms:modified xsi:type="dcterms:W3CDTF">2020-10-31T14:24:00Z</dcterms:modified>
</cp:coreProperties>
</file>